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630"/>
        <w:gridCol w:w="551"/>
        <w:gridCol w:w="381"/>
        <w:gridCol w:w="866"/>
        <w:gridCol w:w="696"/>
        <w:gridCol w:w="604"/>
        <w:gridCol w:w="1523"/>
        <w:gridCol w:w="1523"/>
        <w:gridCol w:w="3058"/>
      </w:tblGrid>
      <w:tr w:rsidR="008B2B85" w14:paraId="41B3B977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2C89E8C6" w14:textId="77777777" w:rsidR="008B2B85" w:rsidRDefault="001120A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 __</w:t>
            </w:r>
          </w:p>
        </w:tc>
      </w:tr>
      <w:tr w:rsidR="008B2B85" w14:paraId="4D5C752E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26DED34A" w14:textId="77777777" w:rsidR="008B2B85" w:rsidRDefault="001120A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 Договору на оказание</w:t>
            </w:r>
          </w:p>
        </w:tc>
      </w:tr>
      <w:tr w:rsidR="008B2B85" w14:paraId="2AC59289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6F08417F" w14:textId="77777777" w:rsidR="008B2B85" w:rsidRDefault="001120A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платных медицинских услуг №  100 002 от 12.12.2022 г.</w:t>
            </w:r>
          </w:p>
        </w:tc>
      </w:tr>
      <w:tr w:rsidR="008B2B85" w14:paraId="45F3C6A0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78934CBC" w14:textId="77777777" w:rsidR="008B2B85" w:rsidRDefault="008B2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0FE8E1DA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3417CB8E" w14:textId="77777777" w:rsidR="008B2B85" w:rsidRDefault="001120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ПРАВИЛА ПРОГРАММЫ «ДЕПОЗИТ»</w:t>
            </w:r>
          </w:p>
        </w:tc>
      </w:tr>
      <w:tr w:rsidR="008B2B85" w14:paraId="0FB61538" w14:textId="77777777">
        <w:trPr>
          <w:trHeight w:val="60"/>
        </w:trPr>
        <w:tc>
          <w:tcPr>
            <w:tcW w:w="879" w:type="dxa"/>
            <w:shd w:val="clear" w:color="FFFFFF" w:fill="auto"/>
          </w:tcPr>
          <w:p w14:paraId="742D24CF" w14:textId="77777777" w:rsidR="008B2B85" w:rsidRDefault="008B2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FFFFFF" w:fill="auto"/>
          </w:tcPr>
          <w:p w14:paraId="02EA1762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</w:tcPr>
          <w:p w14:paraId="698FB994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</w:tcPr>
          <w:p w14:paraId="49CF5EB3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</w:tcPr>
          <w:p w14:paraId="3370D424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</w:tcPr>
          <w:p w14:paraId="0A873E20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</w:tcPr>
          <w:p w14:paraId="01670B53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692A1D62" w14:textId="77777777" w:rsidR="008B2B85" w:rsidRDefault="008B2B85">
            <w:pPr>
              <w:rPr>
                <w:szCs w:val="16"/>
              </w:rPr>
            </w:pPr>
          </w:p>
        </w:tc>
      </w:tr>
      <w:tr w:rsidR="008B2B85" w14:paraId="009A8EC5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5758B167" w14:textId="77777777" w:rsidR="008B2B85" w:rsidRDefault="0011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Настоящий документ   (далее – «Правила»)   является   приложением к  Договору на оказание платных 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медицинских услуг № 100 002 от12.12.2022 г.   (далее – «Договор») между Общество с ограниченной ответственностью «КДФ-Сочи» (далее – ООО «КДФ-Сочи» , Клиника) и Заказчиком.</w:t>
            </w:r>
          </w:p>
        </w:tc>
      </w:tr>
      <w:tr w:rsidR="008B2B85" w14:paraId="053EAEEE" w14:textId="77777777">
        <w:trPr>
          <w:trHeight w:val="60"/>
        </w:trPr>
        <w:tc>
          <w:tcPr>
            <w:tcW w:w="879" w:type="dxa"/>
            <w:shd w:val="clear" w:color="FFFFFF" w:fill="auto"/>
          </w:tcPr>
          <w:p w14:paraId="4463C095" w14:textId="77777777" w:rsidR="008B2B85" w:rsidRDefault="008B2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FFFFFF" w:fill="auto"/>
          </w:tcPr>
          <w:p w14:paraId="41DFE3A1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</w:tcPr>
          <w:p w14:paraId="452C7214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</w:tcPr>
          <w:p w14:paraId="552133E5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</w:tcPr>
          <w:p w14:paraId="75D0AEBB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</w:tcPr>
          <w:p w14:paraId="61CC3444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</w:tcPr>
          <w:p w14:paraId="71FE0A1D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39D6EC94" w14:textId="77777777" w:rsidR="008B2B85" w:rsidRDefault="008B2B85">
            <w:pPr>
              <w:rPr>
                <w:szCs w:val="16"/>
              </w:rPr>
            </w:pPr>
          </w:p>
        </w:tc>
      </w:tr>
      <w:tr w:rsidR="008B2B85" w14:paraId="5E4066C0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50C986AC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 ТЕРМИНЫ И ОПРЕДЕЛЕНИЯ</w:t>
            </w:r>
          </w:p>
        </w:tc>
      </w:tr>
      <w:tr w:rsidR="008B2B85" w14:paraId="4CBD2B66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67B2ADA9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 «Клиника» - ООО «КДФ-Сочи»,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имеющее лицензию на осуществление медицинской деятельности № Л041-01126-23/00633130 от 22.12.2022 Министерством здравоохранения Краснодарского края, адрес места осуществления лицензируемого вида деятельности: 354057, Краснодарский край, Сочи г,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Дагомысская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(Центральный р-н)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дом № 42, корпус Д/1</w:t>
            </w:r>
          </w:p>
        </w:tc>
      </w:tr>
      <w:tr w:rsidR="008B2B85" w14:paraId="1F09E7C1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1036BD54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«Заказчик» - физическое лицо или юридическое лицо, имеющее намерение заказать (приобрести) либо заказывающее (приобретающее) платные медицинские услуги в соответствии с Договором в пользу Пациента. Пациент </w:t>
            </w:r>
            <w:r>
              <w:rPr>
                <w:rFonts w:ascii="Times New Roman" w:hAnsi="Times New Roman"/>
                <w:sz w:val="18"/>
                <w:szCs w:val="18"/>
              </w:rPr>
              <w:t>и Заказчик могут быть разными лицами.</w:t>
            </w:r>
          </w:p>
        </w:tc>
      </w:tr>
      <w:tr w:rsidR="008B2B85" w14:paraId="3149D0B5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5A0C9F58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«Пациент» - физическое лицо, имеющее намерение получить либо получающее платные медицинские услуги лично в соответствии с Договором.</w:t>
            </w:r>
          </w:p>
        </w:tc>
      </w:tr>
      <w:tr w:rsidR="008B2B85" w14:paraId="44B9B0B7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77D86C25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 «Депозит» - договор, заключаемый между Клиникой и Заказчиком, на оказание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платных медицинских услуг самому Заказчику и/или иным лицам (Пациентам), указанным Заказчиком на условиях, предусмотренных настоящими Правилами программы «Депозит» и Договором на оказание платных медицинских услуг.</w:t>
            </w:r>
          </w:p>
        </w:tc>
      </w:tr>
      <w:tr w:rsidR="008B2B85" w14:paraId="510A6BC0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22BD3E44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1.5. «Сумма депозита» - сумма денежных </w:t>
            </w:r>
            <w:r>
              <w:rPr>
                <w:rFonts w:ascii="Times New Roman" w:hAnsi="Times New Roman"/>
                <w:sz w:val="18"/>
                <w:szCs w:val="18"/>
              </w:rPr>
              <w:t>средств, размещенных на расчетном счете Клиники Заказчиком, которая дает право на получение медицинских услуг на внесенную сумму на условиях настоящих Правил.</w:t>
            </w:r>
          </w:p>
        </w:tc>
      </w:tr>
      <w:tr w:rsidR="008B2B85" w14:paraId="517E90B2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17D495AB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1.6. «Прейскурант» - систематизированный сборник цен по группам и видам услуг, действующий и раз</w:t>
            </w:r>
            <w:r>
              <w:rPr>
                <w:rFonts w:ascii="Times New Roman" w:hAnsi="Times New Roman"/>
                <w:sz w:val="18"/>
                <w:szCs w:val="18"/>
              </w:rPr>
              <w:t>мещенный на официальном сайте клиники (https://fomin-clinic.ru/) на момент оказания медицинской услуги.</w:t>
            </w:r>
          </w:p>
        </w:tc>
      </w:tr>
      <w:tr w:rsidR="008B2B85" w14:paraId="1EAFF1DE" w14:textId="77777777">
        <w:trPr>
          <w:trHeight w:val="60"/>
        </w:trPr>
        <w:tc>
          <w:tcPr>
            <w:tcW w:w="879" w:type="dxa"/>
            <w:shd w:val="clear" w:color="FFFFFF" w:fill="auto"/>
          </w:tcPr>
          <w:p w14:paraId="7F81D2C1" w14:textId="77777777" w:rsidR="008B2B85" w:rsidRDefault="008B2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FFFFFF" w:fill="auto"/>
          </w:tcPr>
          <w:p w14:paraId="327F2B01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</w:tcPr>
          <w:p w14:paraId="53A186A0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</w:tcPr>
          <w:p w14:paraId="76B689FA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</w:tcPr>
          <w:p w14:paraId="53D84490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</w:tcPr>
          <w:p w14:paraId="2ACB352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</w:tcPr>
          <w:p w14:paraId="50C422FE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0F7F38BA" w14:textId="77777777" w:rsidR="008B2B85" w:rsidRDefault="008B2B85">
            <w:pPr>
              <w:rPr>
                <w:szCs w:val="16"/>
              </w:rPr>
            </w:pPr>
          </w:p>
        </w:tc>
      </w:tr>
      <w:tr w:rsidR="008B2B85" w14:paraId="1B779959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5EDE9143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УСЛОВИЯ ИСПОЛЬЗОВАНИЯ ПРОГРАММЫ</w:t>
            </w:r>
          </w:p>
        </w:tc>
      </w:tr>
      <w:tr w:rsidR="008B2B85" w14:paraId="58319612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5642B549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2.1. Присоединение к программе «Депозит» происходит в момент единовременного внесения авансом одной из </w:t>
            </w:r>
            <w:r>
              <w:rPr>
                <w:rFonts w:ascii="Times New Roman" w:hAnsi="Times New Roman"/>
                <w:sz w:val="18"/>
                <w:szCs w:val="18"/>
              </w:rPr>
              <w:t>указанных ниже Сумм депозита на расчетный счет Клиники с целью дальнейшего использования данных денежных средств для оплаты медицинских услуг перечень и стоимость которых определяется прейскурантом, действующим на момент оказания таких услуг.</w:t>
            </w:r>
          </w:p>
        </w:tc>
      </w:tr>
      <w:tr w:rsidR="008B2B85" w14:paraId="07970A7A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0157279B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предо</w:t>
            </w:r>
            <w:r>
              <w:rPr>
                <w:rFonts w:ascii="Times New Roman" w:hAnsi="Times New Roman"/>
                <w:sz w:val="18"/>
                <w:szCs w:val="18"/>
              </w:rPr>
              <w:t>ставляются со скидкой, в случае внесения суммы депозита в размере одной из указанных ниже сумм, исходя из Суммы депозита, согласно настоящим Правилам.</w:t>
            </w:r>
          </w:p>
        </w:tc>
      </w:tr>
      <w:tr w:rsidR="008B2B85" w14:paraId="7D317212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4879A165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 На ряд категорий услуг в рамках программы «Депозит» установлена скидка, размер которой устанавливае</w:t>
            </w:r>
            <w:r>
              <w:rPr>
                <w:rFonts w:ascii="Times New Roman" w:hAnsi="Times New Roman"/>
                <w:sz w:val="18"/>
                <w:szCs w:val="18"/>
              </w:rPr>
              <w:t>тся настоящими Правилами, исходя из Суммы депозита.</w:t>
            </w:r>
          </w:p>
        </w:tc>
      </w:tr>
      <w:tr w:rsidR="008B2B85" w14:paraId="207EC89A" w14:textId="77777777">
        <w:trPr>
          <w:trHeight w:val="150"/>
        </w:trPr>
        <w:tc>
          <w:tcPr>
            <w:tcW w:w="10711" w:type="dxa"/>
            <w:gridSpan w:val="10"/>
            <w:shd w:val="clear" w:color="FFFFFF" w:fill="auto"/>
          </w:tcPr>
          <w:p w14:paraId="6CF224E8" w14:textId="77777777" w:rsidR="008B2B85" w:rsidRDefault="008B2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4BFEDF02" w14:textId="77777777">
        <w:trPr>
          <w:trHeight w:val="60"/>
        </w:trPr>
        <w:tc>
          <w:tcPr>
            <w:tcW w:w="24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E27A36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 ДЕПОЗИТА</w:t>
            </w:r>
          </w:p>
        </w:tc>
        <w:tc>
          <w:tcPr>
            <w:tcW w:w="21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774149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СКИДКА</w:t>
            </w:r>
          </w:p>
        </w:tc>
        <w:tc>
          <w:tcPr>
            <w:tcW w:w="3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1054EE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УСЛУГ*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96E5E9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ОГРАНИЧЕНИЯ **</w:t>
            </w:r>
          </w:p>
        </w:tc>
      </w:tr>
      <w:tr w:rsidR="008B2B85" w14:paraId="66002726" w14:textId="77777777">
        <w:tc>
          <w:tcPr>
            <w:tcW w:w="24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E2586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50 000 руб.(Пятьдесят тысяч рублей)</w:t>
            </w:r>
          </w:p>
        </w:tc>
        <w:tc>
          <w:tcPr>
            <w:tcW w:w="21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B23855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10 %</w:t>
            </w:r>
          </w:p>
        </w:tc>
        <w:tc>
          <w:tcPr>
            <w:tcW w:w="3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827E6A1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консультативные приемы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инструментальные исследования (за исключением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фоликулометрии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3. </w:t>
            </w:r>
            <w:r>
              <w:rPr>
                <w:rFonts w:ascii="Times New Roman" w:hAnsi="Times New Roman"/>
                <w:sz w:val="18"/>
                <w:szCs w:val="18"/>
              </w:rPr>
              <w:t>манипуляции (исключая операции)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4. лабораторные исследования (за исключением гистологических,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онкогематологических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иммуногистохимических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цитогенетических исследований, а также исследования фрагментации ДНК сперматозоидов)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DC7687B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1.Услуги категории ЭКО и компл</w:t>
            </w:r>
            <w:r>
              <w:rPr>
                <w:rFonts w:ascii="Times New Roman" w:hAnsi="Times New Roman"/>
                <w:sz w:val="18"/>
                <w:szCs w:val="18"/>
              </w:rPr>
              <w:t>ексные программы ЭКО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2. Услуги с применением медицинских изделий и медицинских препаратов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3. Вакцинация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4. Все виды оперативных вмешательств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6. Генетические исследования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7. Комплексные программы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чекапы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8.Гистологические,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онкогематологические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иммуногисто</w:t>
            </w:r>
            <w:r>
              <w:rPr>
                <w:rFonts w:ascii="Times New Roman" w:hAnsi="Times New Roman"/>
                <w:sz w:val="18"/>
                <w:szCs w:val="18"/>
              </w:rPr>
              <w:t>химические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цитогенетические исследования, исследования фрагментации ДНК сперматозоидов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9.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Фоликулометрия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10. Услуги, на которые действуют акции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11. Услуги, оказываемые на основании договоров между Клиникой и иными медицинскими организациями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8B2B85" w14:paraId="5551369E" w14:textId="77777777">
        <w:trPr>
          <w:trHeight w:val="135"/>
        </w:trPr>
        <w:tc>
          <w:tcPr>
            <w:tcW w:w="879" w:type="dxa"/>
            <w:shd w:val="clear" w:color="FFFFFF" w:fill="auto"/>
          </w:tcPr>
          <w:p w14:paraId="2EEACF5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</w:tcPr>
          <w:p w14:paraId="01223EF1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</w:tcPr>
          <w:p w14:paraId="19D54559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</w:tcPr>
          <w:p w14:paraId="25D217BD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</w:tcPr>
          <w:p w14:paraId="07E579AE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</w:tcPr>
          <w:p w14:paraId="0979B309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</w:tcPr>
          <w:p w14:paraId="1CD61F8D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5D8513B0" w14:textId="77777777" w:rsidR="008B2B85" w:rsidRDefault="008B2B85">
            <w:pPr>
              <w:rPr>
                <w:szCs w:val="16"/>
              </w:rPr>
            </w:pPr>
          </w:p>
        </w:tc>
      </w:tr>
      <w:tr w:rsidR="008B2B85" w14:paraId="68EE49C0" w14:textId="77777777">
        <w:trPr>
          <w:trHeight w:val="60"/>
        </w:trPr>
        <w:tc>
          <w:tcPr>
            <w:tcW w:w="879" w:type="dxa"/>
            <w:tcBorders>
              <w:top w:val="single" w:sz="10" w:space="0" w:color="auto"/>
            </w:tcBorders>
            <w:shd w:val="clear" w:color="FFFFFF" w:fill="auto"/>
          </w:tcPr>
          <w:p w14:paraId="27A92E4E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</w:tcPr>
          <w:p w14:paraId="20623730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10" w:space="0" w:color="auto"/>
            </w:tcBorders>
            <w:shd w:val="clear" w:color="FFFFFF" w:fill="auto"/>
          </w:tcPr>
          <w:p w14:paraId="72EBDF89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0" w:space="0" w:color="auto"/>
            </w:tcBorders>
            <w:shd w:val="clear" w:color="FFFFFF" w:fill="auto"/>
          </w:tcPr>
          <w:p w14:paraId="5DEB8653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0" w:space="0" w:color="auto"/>
            </w:tcBorders>
            <w:shd w:val="clear" w:color="FFFFFF" w:fill="auto"/>
          </w:tcPr>
          <w:p w14:paraId="2F8D0C39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10" w:space="0" w:color="auto"/>
            </w:tcBorders>
            <w:shd w:val="clear" w:color="FFFFFF" w:fill="auto"/>
          </w:tcPr>
          <w:p w14:paraId="511ABA07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0" w:space="0" w:color="auto"/>
            </w:tcBorders>
            <w:shd w:val="clear" w:color="FFFFFF" w:fill="auto"/>
          </w:tcPr>
          <w:p w14:paraId="095F77C9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FFFFFF" w:fill="auto"/>
          </w:tcPr>
          <w:p w14:paraId="2E831A4F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FFFFFF" w:fill="auto"/>
          </w:tcPr>
          <w:p w14:paraId="76951CB1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8" w:type="dxa"/>
            <w:shd w:val="clear" w:color="FFFFFF" w:fill="auto"/>
          </w:tcPr>
          <w:p w14:paraId="517AA3E4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72396894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1890487B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* В соответствии с прейскурантом Клиники, действующим на момент оказания медицинской услуги. Точное наименование услуги указано в прейскуранте Клиники.</w:t>
            </w:r>
          </w:p>
        </w:tc>
      </w:tr>
      <w:tr w:rsidR="008B2B85" w14:paraId="55D2FBAC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1F6DE410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**Скидки и льготные условия настоящих Правил не распространяются на перечень услуг. В указанных случая</w:t>
            </w:r>
            <w:r>
              <w:rPr>
                <w:rFonts w:ascii="Times New Roman" w:hAnsi="Times New Roman"/>
                <w:sz w:val="18"/>
                <w:szCs w:val="18"/>
              </w:rPr>
              <w:t>х списание стоимости услуг производится по цене согласно действующему на момент оказания услуги прейскуранту Клиники без учета скидки по программе «Депозит».</w:t>
            </w:r>
          </w:p>
        </w:tc>
      </w:tr>
      <w:tr w:rsidR="008B2B85" w14:paraId="16E2288D" w14:textId="77777777">
        <w:tc>
          <w:tcPr>
            <w:tcW w:w="24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0DE8BA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100 000 руб.(Сто тысяч рублей)</w:t>
            </w:r>
          </w:p>
        </w:tc>
        <w:tc>
          <w:tcPr>
            <w:tcW w:w="21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A5E8FC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15 %</w:t>
            </w:r>
          </w:p>
        </w:tc>
        <w:tc>
          <w:tcPr>
            <w:tcW w:w="3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1E7D4FA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консультативные приемы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инструментальные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исследования (за исключением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фоликулометрии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3. манипуляции (исключая операции)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4. лабораторные исследования (за исключением гистологических,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онкогематологических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иммуногистохимических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цитогенетических исследований, а также исследования фрагментации ДНК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сперматозоидов)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5E254F6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1.Услуги категории ЭКО и комплексные программы ЭКО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2. Услуги с применением медицинских изделий и медицинских препаратов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 Вакцинация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4. Все виды оперативных вмешательств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6. Генетические исследования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7. Комплексные программы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чекапы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8.Ги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стологические,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онкогематологические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иммуногистохимические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цитогенетические исследования, исследования фрагментации ДНК сперматозоидов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9.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Фоликулометрия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10. Услуги, на которые действуют акции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11. Услуги, оказываемые на основании договоров между Клиникой </w:t>
            </w:r>
            <w:r>
              <w:rPr>
                <w:rFonts w:ascii="Times New Roman" w:hAnsi="Times New Roman"/>
                <w:sz w:val="18"/>
                <w:szCs w:val="18"/>
              </w:rPr>
              <w:t>и иными медицинскими организациями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8B2B85" w14:paraId="77D69D5D" w14:textId="77777777">
        <w:tc>
          <w:tcPr>
            <w:tcW w:w="24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A7220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200 000 руб.(Двести тысяч рублей)</w:t>
            </w:r>
          </w:p>
        </w:tc>
        <w:tc>
          <w:tcPr>
            <w:tcW w:w="21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392BB6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20 %</w:t>
            </w:r>
          </w:p>
        </w:tc>
        <w:tc>
          <w:tcPr>
            <w:tcW w:w="3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A4EC926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консультативные приемы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инструментальные исследования (за исключением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фоликулометрии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3. манипуляции (исключая операции)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4. лабораторные исследования (за исключением гистологи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ческих,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онкогематологических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иммуногистохимических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цитогенетических исследований, а также исследования фрагментации ДНК сперматозоидов)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B877D16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1.Услуги категории ЭКО и комплексные программы ЭКО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2. Услуги с применением медицинских изделий и медицинских препара</w:t>
            </w:r>
            <w:r>
              <w:rPr>
                <w:rFonts w:ascii="Times New Roman" w:hAnsi="Times New Roman"/>
                <w:sz w:val="18"/>
                <w:szCs w:val="18"/>
              </w:rPr>
              <w:t>тов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3. Вакцинация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4. Все виды оперативных вмешательств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6. Генетические исследования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7. Комплексные программы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чекапы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8.Гистологические,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онкогематологические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иммуногистохимические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цитогенетические исследования, исследования фрагментации ДНК сперматозоид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9.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Фоликулометрия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10. Услуги, на которые действуют акции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11. Услуги, оказываемые на основании договоров между Клиникой и иными медицинскими организациями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8B2B85" w14:paraId="556DB9F0" w14:textId="77777777">
        <w:tc>
          <w:tcPr>
            <w:tcW w:w="24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5FF9F5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 руб.(Двести тысяч рублей)</w:t>
            </w:r>
          </w:p>
        </w:tc>
        <w:tc>
          <w:tcPr>
            <w:tcW w:w="21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0531E7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5 %</w:t>
            </w:r>
          </w:p>
        </w:tc>
        <w:tc>
          <w:tcPr>
            <w:tcW w:w="3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258352D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Услуги категории ЭКО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Фоликулометрия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3. </w:t>
            </w:r>
            <w:r>
              <w:rPr>
                <w:rFonts w:ascii="Times New Roman" w:hAnsi="Times New Roman"/>
                <w:sz w:val="18"/>
                <w:szCs w:val="18"/>
              </w:rPr>
              <w:t>Вакцинация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4. Медикаменты,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мед.изделия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5. Генетические исследования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6. Анестезиология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7. Услуги стационара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8. Все виды оперативных вмешательств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9. Гистологические,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онкогематологические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иммуногистохимические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цитогенетические исследований, а также исследо</w:t>
            </w:r>
            <w:r>
              <w:rPr>
                <w:rFonts w:ascii="Times New Roman" w:hAnsi="Times New Roman"/>
                <w:sz w:val="18"/>
                <w:szCs w:val="18"/>
              </w:rPr>
              <w:t>вания фрагментации ДНК сперматозоидов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CFCB30D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3C079061" w14:textId="77777777">
        <w:tc>
          <w:tcPr>
            <w:tcW w:w="24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831034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 руб.(Двести тысяч рублей)</w:t>
            </w:r>
          </w:p>
        </w:tc>
        <w:tc>
          <w:tcPr>
            <w:tcW w:w="21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119E9D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20 %</w:t>
            </w:r>
          </w:p>
        </w:tc>
        <w:tc>
          <w:tcPr>
            <w:tcW w:w="3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6FED377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консультативные приемы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инструментальные исследования (за исключением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фоликулометрии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3. манипуляции (исключая операции)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4. лабораторные исследования (за исключением гисто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логических,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онкогематологических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иммуногистохимических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цитогенетических исследований, а также исследования фрагментации ДНК сперматозоидов)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9033B51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1.Услуги категории ЭКО и комплексные программы ЭКО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2. Услуги с применением медицинских изделий и медицинских пре</w:t>
            </w:r>
            <w:r>
              <w:rPr>
                <w:rFonts w:ascii="Times New Roman" w:hAnsi="Times New Roman"/>
                <w:sz w:val="18"/>
                <w:szCs w:val="18"/>
              </w:rPr>
              <w:t>паратов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3. Вакцинация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4. Все виды оперативных вмешательств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6. Генетические исследования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7. Комплексные программы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чекапы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8.Гистологические,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онкогематологические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иммуногистохимические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цитогенетические исследования, исследования фрагментации ДНК спермато</w:t>
            </w:r>
            <w:r>
              <w:rPr>
                <w:rFonts w:ascii="Times New Roman" w:hAnsi="Times New Roman"/>
                <w:sz w:val="18"/>
                <w:szCs w:val="18"/>
              </w:rPr>
              <w:t>зоидов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9.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Фоликулометрия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10. Услуги, на которые действуют акции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11. Услуги, оказываемые на основании договоров между Клиникой и иными медицинскими организациями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8B2B85" w14:paraId="0E7F18F1" w14:textId="77777777">
        <w:tc>
          <w:tcPr>
            <w:tcW w:w="24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3AC00B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200 000 руб.(Двести тысяч рублей)</w:t>
            </w:r>
          </w:p>
        </w:tc>
        <w:tc>
          <w:tcPr>
            <w:tcW w:w="21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E62191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5 %</w:t>
            </w:r>
          </w:p>
        </w:tc>
        <w:tc>
          <w:tcPr>
            <w:tcW w:w="3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0A27AA9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Услуги категории ЭКО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Фоликулометрия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3. Вакцинация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4. Медикаменты,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мед.изделия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5. Генетические исследования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6. Анестезиология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7. Услуги стационара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8. Все виды оперативных вмешательств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9. Гистологические,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онкогематологические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иммуногистохимические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цитогенетические исследований, а также исследования фраг</w:t>
            </w:r>
            <w:r>
              <w:rPr>
                <w:rFonts w:ascii="Times New Roman" w:hAnsi="Times New Roman"/>
                <w:sz w:val="18"/>
                <w:szCs w:val="18"/>
              </w:rPr>
              <w:t>ментации ДНК сперматозоидов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4488E12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B2B85" w14:paraId="02E71699" w14:textId="77777777">
        <w:tc>
          <w:tcPr>
            <w:tcW w:w="244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EC8535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 руб.(Двести тысяч рублей)</w:t>
            </w:r>
          </w:p>
        </w:tc>
        <w:tc>
          <w:tcPr>
            <w:tcW w:w="21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BF09CF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10 %</w:t>
            </w:r>
          </w:p>
        </w:tc>
        <w:tc>
          <w:tcPr>
            <w:tcW w:w="3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3E835F2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ИВБ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E6A6665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634A43BA" w14:textId="77777777">
        <w:trPr>
          <w:trHeight w:val="90"/>
        </w:trPr>
        <w:tc>
          <w:tcPr>
            <w:tcW w:w="10711" w:type="dxa"/>
            <w:gridSpan w:val="10"/>
            <w:shd w:val="clear" w:color="FFFFFF" w:fill="auto"/>
          </w:tcPr>
          <w:p w14:paraId="51812A8D" w14:textId="77777777" w:rsidR="008B2B85" w:rsidRDefault="008B2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4F9E1EB4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331534FA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2.3. Скидки, предусмотренные программой «Депозит», не суммируются с иными скидками и акциями, действующими на услуги. В отношении </w:t>
            </w:r>
            <w:r>
              <w:rPr>
                <w:rFonts w:ascii="Times New Roman" w:hAnsi="Times New Roman"/>
                <w:sz w:val="18"/>
                <w:szCs w:val="18"/>
              </w:rPr>
              <w:t>услуги, на которую действует и скидка по программе «Депозит», и иная скидка, применяется принцип большей скидки. Скидка по программе «Депозит» не применяется при оплате услуг баллами «Программы лояльности».</w:t>
            </w:r>
          </w:p>
        </w:tc>
      </w:tr>
      <w:tr w:rsidR="008B2B85" w14:paraId="035AB9C1" w14:textId="77777777">
        <w:trPr>
          <w:trHeight w:val="60"/>
        </w:trPr>
        <w:tc>
          <w:tcPr>
            <w:tcW w:w="879" w:type="dxa"/>
            <w:shd w:val="clear" w:color="FFFFFF" w:fill="auto"/>
          </w:tcPr>
          <w:p w14:paraId="000CCEF7" w14:textId="77777777" w:rsidR="008B2B85" w:rsidRDefault="008B2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FFFFFF" w:fill="auto"/>
          </w:tcPr>
          <w:p w14:paraId="066C789B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</w:tcPr>
          <w:p w14:paraId="0A5B7F7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</w:tcPr>
          <w:p w14:paraId="7336DA35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</w:tcPr>
          <w:p w14:paraId="1A5E1E4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</w:tcPr>
          <w:p w14:paraId="27BD7220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</w:tcPr>
          <w:p w14:paraId="29CFFCA9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2B1C9A5D" w14:textId="77777777" w:rsidR="008B2B85" w:rsidRDefault="008B2B85">
            <w:pPr>
              <w:rPr>
                <w:szCs w:val="16"/>
              </w:rPr>
            </w:pPr>
          </w:p>
        </w:tc>
      </w:tr>
      <w:tr w:rsidR="008B2B85" w14:paraId="4C16A63B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4A94DE08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 СРОК ДЕЙСТВИЯ ПРОГРАММЫ</w:t>
            </w:r>
          </w:p>
        </w:tc>
      </w:tr>
      <w:tr w:rsidR="008B2B85" w14:paraId="77CDE373" w14:textId="77777777">
        <w:trPr>
          <w:trHeight w:val="60"/>
        </w:trPr>
        <w:tc>
          <w:tcPr>
            <w:tcW w:w="879" w:type="dxa"/>
            <w:shd w:val="clear" w:color="FFFFFF" w:fill="auto"/>
          </w:tcPr>
          <w:p w14:paraId="1BF410A9" w14:textId="77777777" w:rsidR="008B2B85" w:rsidRDefault="008B2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FFFFFF" w:fill="auto"/>
          </w:tcPr>
          <w:p w14:paraId="7D2FD418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</w:tcPr>
          <w:p w14:paraId="2EE89F78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</w:tcPr>
          <w:p w14:paraId="2D3A9716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</w:tcPr>
          <w:p w14:paraId="3BC2EE53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</w:tcPr>
          <w:p w14:paraId="403DBCF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</w:tcPr>
          <w:p w14:paraId="1B884A1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569045AD" w14:textId="77777777" w:rsidR="008B2B85" w:rsidRDefault="008B2B85">
            <w:pPr>
              <w:rPr>
                <w:szCs w:val="16"/>
              </w:rPr>
            </w:pPr>
          </w:p>
        </w:tc>
      </w:tr>
      <w:tr w:rsidR="008B2B85" w14:paraId="5C2EC6F8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309B984E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 Срок действия программы «Депозит» составляет 1 (один) год с момента внесения суммы депозита Заказчиком на расчетный счет Клиники единовременным платежом в размере, установленном настоящими Правилами.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установленный п. 3.1. период оплата услуг соверша</w:t>
            </w:r>
            <w:r>
              <w:rPr>
                <w:rFonts w:ascii="Times New Roman" w:hAnsi="Times New Roman"/>
                <w:sz w:val="18"/>
                <w:szCs w:val="18"/>
              </w:rPr>
              <w:t>ется с учетом предусмотренных п. 2.2. скидок. Сумма списания денежных средств с депозита за один день  не должна превышать 60 % от внесенной первоначальной суммы по программе «Депозит».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8B2B85" w14:paraId="0E13B436" w14:textId="77777777">
        <w:trPr>
          <w:trHeight w:val="105"/>
        </w:trPr>
        <w:tc>
          <w:tcPr>
            <w:tcW w:w="10711" w:type="dxa"/>
            <w:gridSpan w:val="10"/>
            <w:shd w:val="clear" w:color="FFFFFF" w:fill="auto"/>
          </w:tcPr>
          <w:p w14:paraId="099401BF" w14:textId="77777777" w:rsidR="008B2B85" w:rsidRDefault="008B2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6EF6C80D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24F53B75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3.2. По истечении срока действия программы «Депозит» </w:t>
            </w:r>
            <w:r>
              <w:rPr>
                <w:rFonts w:ascii="Times New Roman" w:hAnsi="Times New Roman"/>
                <w:sz w:val="18"/>
                <w:szCs w:val="18"/>
              </w:rPr>
              <w:t>скидки, предусмотренные п. 2.2., прекращают действовать. Оставшиеся на счету денежные средства, внесенные по программе «Депозит», могут быть использованы Заказчиком в качестве оплаты медицинских услуг без скидок и льгот, указанных в п. 2.2. настоящих Прави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</w:p>
        </w:tc>
      </w:tr>
      <w:tr w:rsidR="008B2B85" w14:paraId="2CB998AD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0C657EAE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3.3. В случае израсходования Суммы депозита до истечения срока действия программы оплата услуг, оказанных Заказчику и/или Пациенту, производится в соответствии с действующим на момент оказания услуг прейскурантом Клиники, либо, в случае внесения новой </w:t>
            </w:r>
            <w:r>
              <w:rPr>
                <w:rFonts w:ascii="Times New Roman" w:hAnsi="Times New Roman"/>
                <w:sz w:val="18"/>
                <w:szCs w:val="18"/>
              </w:rPr>
              <w:t>Суммы депозита, предусмотренной настоящими Правилами, программа «Депозит» действует с учетом новой суммы депозита в течение срока, указанного в п. 3.1.</w:t>
            </w:r>
          </w:p>
        </w:tc>
      </w:tr>
      <w:tr w:rsidR="008B2B85" w14:paraId="5FD12A0C" w14:textId="77777777">
        <w:trPr>
          <w:trHeight w:val="60"/>
        </w:trPr>
        <w:tc>
          <w:tcPr>
            <w:tcW w:w="879" w:type="dxa"/>
            <w:shd w:val="clear" w:color="FFFFFF" w:fill="auto"/>
          </w:tcPr>
          <w:p w14:paraId="6722F8EA" w14:textId="77777777" w:rsidR="008B2B85" w:rsidRDefault="008B2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FFFFFF" w:fill="auto"/>
          </w:tcPr>
          <w:p w14:paraId="43B42191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</w:tcPr>
          <w:p w14:paraId="70789B7A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</w:tcPr>
          <w:p w14:paraId="5DF1956C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</w:tcPr>
          <w:p w14:paraId="17FE450D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</w:tcPr>
          <w:p w14:paraId="10ABBE05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</w:tcPr>
          <w:p w14:paraId="27A5856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13FCAEF8" w14:textId="77777777" w:rsidR="008B2B85" w:rsidRDefault="008B2B85">
            <w:pPr>
              <w:rPr>
                <w:szCs w:val="16"/>
              </w:rPr>
            </w:pPr>
          </w:p>
        </w:tc>
      </w:tr>
      <w:tr w:rsidR="008B2B85" w14:paraId="1AE1CBB5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7646F2E9" w14:textId="77777777" w:rsidR="008B2B85" w:rsidRDefault="001120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 ПОРЯДОК РАСЧЕТОВ И ОКАЗАНИЯ УСЛУГ</w:t>
            </w:r>
          </w:p>
        </w:tc>
      </w:tr>
      <w:tr w:rsidR="008B2B85" w14:paraId="7F748E6D" w14:textId="77777777">
        <w:trPr>
          <w:trHeight w:val="60"/>
        </w:trPr>
        <w:tc>
          <w:tcPr>
            <w:tcW w:w="879" w:type="dxa"/>
            <w:shd w:val="clear" w:color="FFFFFF" w:fill="auto"/>
          </w:tcPr>
          <w:p w14:paraId="6350AA5B" w14:textId="77777777" w:rsidR="008B2B85" w:rsidRDefault="008B2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FFFFFF" w:fill="auto"/>
          </w:tcPr>
          <w:p w14:paraId="28A44977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</w:tcPr>
          <w:p w14:paraId="41A31CFE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</w:tcPr>
          <w:p w14:paraId="299C100C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</w:tcPr>
          <w:p w14:paraId="632052AE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</w:tcPr>
          <w:p w14:paraId="6A10D17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</w:tcPr>
          <w:p w14:paraId="2241F1B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56E3E27C" w14:textId="77777777" w:rsidR="008B2B85" w:rsidRDefault="008B2B85">
            <w:pPr>
              <w:rPr>
                <w:szCs w:val="16"/>
              </w:rPr>
            </w:pPr>
          </w:p>
        </w:tc>
      </w:tr>
      <w:tr w:rsidR="008B2B85" w14:paraId="621B3A03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3588F491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4.1. Внесение Заказчиком суммы </w:t>
            </w:r>
            <w:r>
              <w:rPr>
                <w:rFonts w:ascii="Times New Roman" w:hAnsi="Times New Roman"/>
                <w:sz w:val="18"/>
                <w:szCs w:val="18"/>
              </w:rPr>
              <w:t>депозита по программе «Депозит» осуществляется единовременно, условия рассрочки в рамках программы «Депозит» не применяются.</w:t>
            </w:r>
          </w:p>
        </w:tc>
      </w:tr>
      <w:tr w:rsidR="008B2B85" w14:paraId="51E9A654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498D6F0A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4.2. Списание денежных средств производится по факту оказания услуг по цене согласно действующему на момент оказания услуг </w:t>
            </w:r>
            <w:r>
              <w:rPr>
                <w:rFonts w:ascii="Times New Roman" w:hAnsi="Times New Roman"/>
                <w:sz w:val="18"/>
                <w:szCs w:val="18"/>
              </w:rPr>
              <w:t>прейскуранту Клиники и с учетом скидки по программе «Депозит» на определенные категории услуг. В рамках программы «Депозит» не применяются правила о рассрочке платежа за оказанные услуги.</w:t>
            </w:r>
          </w:p>
        </w:tc>
      </w:tr>
      <w:tr w:rsidR="008B2B85" w14:paraId="635B61D7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0B9EBA3D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 Клиника ведет учет всех сумм денежных средств, поступивших в к</w:t>
            </w:r>
            <w:r>
              <w:rPr>
                <w:rFonts w:ascii="Times New Roman" w:hAnsi="Times New Roman"/>
                <w:sz w:val="18"/>
                <w:szCs w:val="18"/>
              </w:rPr>
              <w:t>ачестве авансовых платежей, а также сумм денежных средств, списанных за оказанные услуги согласно настоящим Правилам.</w:t>
            </w:r>
          </w:p>
        </w:tc>
      </w:tr>
      <w:tr w:rsidR="008B2B85" w14:paraId="0899D03B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43C57156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4.4. В случае расторжения Заказчиком Договора с Клиникой ранее окончания срока действия Программы «Депозит», Заказчик по его письменному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заявлению вправе вернуть остаток денежных средств от Суммы депозита. При этом сумма израсходованных денежных средств на оплату услуг рассчитывается без учета скидки, предусмотренной п. 2.2. настоящих Правил программы и Договором, по действующему на момент </w:t>
            </w:r>
            <w:r>
              <w:rPr>
                <w:rFonts w:ascii="Times New Roman" w:hAnsi="Times New Roman"/>
                <w:sz w:val="18"/>
                <w:szCs w:val="18"/>
              </w:rPr>
              <w:t>оказания услуг прейскуранту Клиники.</w:t>
            </w:r>
          </w:p>
        </w:tc>
      </w:tr>
      <w:tr w:rsidR="008B2B85" w14:paraId="21FEA366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0FD60EB3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4.5. Скидки по Депозиту применяются с ограничениями, указанными в п. 2.2. настоящих Правил.</w:t>
            </w:r>
          </w:p>
        </w:tc>
      </w:tr>
      <w:tr w:rsidR="008B2B85" w14:paraId="6AD5B919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40CF46A3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4.6. Клиника вправе в течение срока действия программы «Депозит» вносить изменения в свой прейскурант. Информация о новой сто</w:t>
            </w:r>
            <w:r>
              <w:rPr>
                <w:rFonts w:ascii="Times New Roman" w:hAnsi="Times New Roman"/>
                <w:sz w:val="18"/>
                <w:szCs w:val="18"/>
              </w:rPr>
              <w:t>имости платных медицинских услуг доводится до сведения Заказчика путем ее размещения на официальном сайте Клиники в сети Интернет (https://fomin-clinic.ru/). При этом Заказчик признает указанный порядок надлежащим способом доведения информации о новой стои</w:t>
            </w:r>
            <w:r>
              <w:rPr>
                <w:rFonts w:ascii="Times New Roman" w:hAnsi="Times New Roman"/>
                <w:sz w:val="18"/>
                <w:szCs w:val="18"/>
              </w:rPr>
              <w:t>мости услуг.</w:t>
            </w:r>
          </w:p>
        </w:tc>
      </w:tr>
      <w:tr w:rsidR="008B2B85" w14:paraId="1C9760F7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242AE4C7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4.7. Клиника вправе в одностороннем порядке изменять условия программы «Депозит»</w:t>
            </w:r>
          </w:p>
        </w:tc>
      </w:tr>
      <w:tr w:rsidR="008B2B85" w14:paraId="33532F0E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766F9FD2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4.8. Внесение Суммы депозита означает безусловное полное согласие Заказчика с настоящими Правилами и условиями, а также условиями Договора.</w:t>
            </w:r>
          </w:p>
        </w:tc>
      </w:tr>
      <w:tr w:rsidR="008B2B85" w14:paraId="6C767ED2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1940F7FE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4.9. Использование </w:t>
            </w:r>
            <w:r>
              <w:rPr>
                <w:rFonts w:ascii="Times New Roman" w:hAnsi="Times New Roman"/>
                <w:sz w:val="18"/>
                <w:szCs w:val="18"/>
              </w:rPr>
              <w:t>программы «Депозит» возможно только в рамках Клиники, определенной Договором (Общество с ограниченной ответственностью «КДФ-Сочи»).</w:t>
            </w:r>
          </w:p>
        </w:tc>
      </w:tr>
      <w:tr w:rsidR="008B2B85" w14:paraId="39F83B97" w14:textId="77777777">
        <w:trPr>
          <w:trHeight w:val="60"/>
        </w:trPr>
        <w:tc>
          <w:tcPr>
            <w:tcW w:w="10711" w:type="dxa"/>
            <w:gridSpan w:val="10"/>
            <w:shd w:val="clear" w:color="FFFFFF" w:fill="auto"/>
          </w:tcPr>
          <w:p w14:paraId="18EC3D4C" w14:textId="77777777" w:rsidR="008B2B85" w:rsidRDefault="001120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4.10. Количество лиц, получающих платные медицинские услуги в соответствии с Договором и программой «Депозит», - не более 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(четырех).</w:t>
            </w:r>
          </w:p>
        </w:tc>
      </w:tr>
      <w:tr w:rsidR="008B2B85" w14:paraId="46AB94C8" w14:textId="77777777">
        <w:trPr>
          <w:trHeight w:val="60"/>
        </w:trPr>
        <w:tc>
          <w:tcPr>
            <w:tcW w:w="879" w:type="dxa"/>
            <w:shd w:val="clear" w:color="FFFFFF" w:fill="auto"/>
          </w:tcPr>
          <w:p w14:paraId="0312E56D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</w:tcPr>
          <w:p w14:paraId="06F84AB6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</w:tcPr>
          <w:p w14:paraId="7E56DFDD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</w:tcPr>
          <w:p w14:paraId="65D71783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</w:tcPr>
          <w:p w14:paraId="07ADDF6D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</w:tcPr>
          <w:p w14:paraId="3460FC1D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</w:tcPr>
          <w:p w14:paraId="07B4C220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3C87F415" w14:textId="77777777" w:rsidR="008B2B85" w:rsidRDefault="008B2B85">
            <w:pPr>
              <w:rPr>
                <w:szCs w:val="16"/>
              </w:rPr>
            </w:pPr>
          </w:p>
        </w:tc>
      </w:tr>
      <w:tr w:rsidR="008B2B85" w14:paraId="24B7C534" w14:textId="77777777">
        <w:trPr>
          <w:trHeight w:val="60"/>
        </w:trPr>
        <w:tc>
          <w:tcPr>
            <w:tcW w:w="4607" w:type="dxa"/>
            <w:gridSpan w:val="7"/>
            <w:shd w:val="clear" w:color="FFFFFF" w:fill="auto"/>
          </w:tcPr>
          <w:p w14:paraId="3F779D9D" w14:textId="77777777" w:rsidR="008B2B85" w:rsidRDefault="00112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Правилами Программы Депозит ознакомлен:</w:t>
            </w:r>
          </w:p>
        </w:tc>
        <w:tc>
          <w:tcPr>
            <w:tcW w:w="6104" w:type="dxa"/>
            <w:gridSpan w:val="3"/>
            <w:tcBorders>
              <w:bottom w:val="dotted" w:sz="5" w:space="0" w:color="auto"/>
            </w:tcBorders>
            <w:shd w:val="clear" w:color="FFFFFF" w:fill="auto"/>
          </w:tcPr>
          <w:p w14:paraId="6AE66B85" w14:textId="77777777" w:rsidR="008B2B85" w:rsidRDefault="00112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 Т.Т.</w:t>
            </w:r>
          </w:p>
        </w:tc>
      </w:tr>
      <w:tr w:rsidR="008B2B85" w14:paraId="58DC60B1" w14:textId="77777777">
        <w:trPr>
          <w:trHeight w:val="60"/>
        </w:trPr>
        <w:tc>
          <w:tcPr>
            <w:tcW w:w="4607" w:type="dxa"/>
            <w:gridSpan w:val="7"/>
            <w:shd w:val="clear" w:color="FFFFFF" w:fill="auto"/>
          </w:tcPr>
          <w:p w14:paraId="39152758" w14:textId="77777777" w:rsidR="008B2B85" w:rsidRDefault="001120A9">
            <w:pPr>
              <w:rPr>
                <w:szCs w:val="16"/>
              </w:rPr>
            </w:pPr>
            <w:r>
              <w:rPr>
                <w:szCs w:val="16"/>
              </w:rPr>
              <w:t xml:space="preserve">                                                                                                                                                                         (ФИО, подпись Заказчика) </w:t>
            </w:r>
          </w:p>
        </w:tc>
        <w:tc>
          <w:tcPr>
            <w:tcW w:w="6104" w:type="dxa"/>
            <w:gridSpan w:val="3"/>
            <w:shd w:val="clear" w:color="FFFFFF" w:fill="auto"/>
          </w:tcPr>
          <w:p w14:paraId="7B93316F" w14:textId="77777777" w:rsidR="008B2B85" w:rsidRDefault="001120A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(ФИО, подпись Заказчика)</w:t>
            </w:r>
          </w:p>
        </w:tc>
      </w:tr>
      <w:tr w:rsidR="008B2B85" w14:paraId="5CA45FFF" w14:textId="77777777">
        <w:trPr>
          <w:trHeight w:val="60"/>
        </w:trPr>
        <w:tc>
          <w:tcPr>
            <w:tcW w:w="879" w:type="dxa"/>
            <w:shd w:val="clear" w:color="FFFFFF" w:fill="auto"/>
          </w:tcPr>
          <w:p w14:paraId="19763966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</w:tcPr>
          <w:p w14:paraId="6784C263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</w:tcPr>
          <w:p w14:paraId="6B2242FA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</w:tcPr>
          <w:p w14:paraId="1C706A0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</w:tcPr>
          <w:p w14:paraId="1FA17108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</w:tcPr>
          <w:p w14:paraId="0F7A007F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</w:tcPr>
          <w:p w14:paraId="5671D1A4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678461AF" w14:textId="77777777" w:rsidR="008B2B85" w:rsidRDefault="008B2B85">
            <w:pPr>
              <w:rPr>
                <w:szCs w:val="16"/>
              </w:rPr>
            </w:pPr>
          </w:p>
        </w:tc>
      </w:tr>
      <w:tr w:rsidR="008B2B85" w14:paraId="7194C7D8" w14:textId="77777777">
        <w:trPr>
          <w:trHeight w:val="60"/>
        </w:trPr>
        <w:tc>
          <w:tcPr>
            <w:tcW w:w="4607" w:type="dxa"/>
            <w:gridSpan w:val="7"/>
            <w:shd w:val="clear" w:color="FFFFFF" w:fill="auto"/>
          </w:tcPr>
          <w:p w14:paraId="2903A948" w14:textId="77777777" w:rsidR="008B2B85" w:rsidRDefault="001120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6104" w:type="dxa"/>
            <w:gridSpan w:val="3"/>
            <w:shd w:val="clear" w:color="FFFFFF" w:fill="auto"/>
          </w:tcPr>
          <w:p w14:paraId="0C81FB5D" w14:textId="77777777" w:rsidR="008B2B85" w:rsidRDefault="001120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</w:tr>
      <w:tr w:rsidR="008B2B85" w14:paraId="792602AB" w14:textId="77777777">
        <w:trPr>
          <w:trHeight w:val="60"/>
        </w:trPr>
        <w:tc>
          <w:tcPr>
            <w:tcW w:w="4607" w:type="dxa"/>
            <w:gridSpan w:val="7"/>
            <w:shd w:val="clear" w:color="FFFFFF" w:fill="auto"/>
          </w:tcPr>
          <w:p w14:paraId="73C397FC" w14:textId="77777777" w:rsidR="008B2B85" w:rsidRDefault="001120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«КДФ-Сочи»</w:t>
            </w:r>
          </w:p>
        </w:tc>
        <w:tc>
          <w:tcPr>
            <w:tcW w:w="6104" w:type="dxa"/>
            <w:gridSpan w:val="3"/>
            <w:shd w:val="clear" w:color="FFFFFF" w:fill="auto"/>
          </w:tcPr>
          <w:p w14:paraId="31AA9BC1" w14:textId="77777777" w:rsidR="008B2B85" w:rsidRDefault="001120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Тестов Тест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Тестович</w:t>
            </w:r>
            <w:proofErr w:type="spellEnd"/>
          </w:p>
        </w:tc>
      </w:tr>
      <w:tr w:rsidR="008B2B85" w14:paraId="04AF92A3" w14:textId="77777777">
        <w:trPr>
          <w:trHeight w:val="60"/>
        </w:trPr>
        <w:tc>
          <w:tcPr>
            <w:tcW w:w="4607" w:type="dxa"/>
            <w:gridSpan w:val="7"/>
            <w:vMerge w:val="restart"/>
            <w:shd w:val="clear" w:color="FFFFFF" w:fill="auto"/>
          </w:tcPr>
          <w:p w14:paraId="424145DE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Юридический адрес: Адрес: 354057, Краснодарский край, Сочи г,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Дагомысская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(Центральный р-н)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дом № 42, корпус Д/1</w:t>
            </w:r>
          </w:p>
        </w:tc>
        <w:tc>
          <w:tcPr>
            <w:tcW w:w="6104" w:type="dxa"/>
            <w:gridSpan w:val="3"/>
            <w:shd w:val="clear" w:color="FFFFFF" w:fill="auto"/>
          </w:tcPr>
          <w:p w14:paraId="5D223747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01CFDD21" w14:textId="77777777">
        <w:trPr>
          <w:trHeight w:val="60"/>
        </w:trPr>
        <w:tc>
          <w:tcPr>
            <w:tcW w:w="4607" w:type="dxa"/>
            <w:gridSpan w:val="7"/>
            <w:vMerge/>
            <w:shd w:val="clear" w:color="FFFFFF" w:fill="auto"/>
          </w:tcPr>
          <w:p w14:paraId="5E9923A5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FFFFFF" w:fill="auto"/>
          </w:tcPr>
          <w:p w14:paraId="33F96621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11122344</w:t>
            </w:r>
          </w:p>
        </w:tc>
      </w:tr>
      <w:tr w:rsidR="008B2B85" w14:paraId="4C43FCAA" w14:textId="77777777">
        <w:trPr>
          <w:trHeight w:val="207"/>
        </w:trPr>
        <w:tc>
          <w:tcPr>
            <w:tcW w:w="4607" w:type="dxa"/>
            <w:gridSpan w:val="7"/>
            <w:vMerge/>
            <w:shd w:val="clear" w:color="FFFFFF" w:fill="auto"/>
          </w:tcPr>
          <w:p w14:paraId="1E62E600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vMerge w:val="restart"/>
            <w:shd w:val="clear" w:color="FFFFFF" w:fill="auto"/>
          </w:tcPr>
          <w:p w14:paraId="531E4B85" w14:textId="77777777" w:rsidR="008B2B85" w:rsidRDefault="008B2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5BC976B1" w14:textId="77777777">
        <w:trPr>
          <w:trHeight w:val="60"/>
        </w:trPr>
        <w:tc>
          <w:tcPr>
            <w:tcW w:w="4003" w:type="dxa"/>
            <w:gridSpan w:val="6"/>
            <w:shd w:val="clear" w:color="FFFFFF" w:fill="auto"/>
          </w:tcPr>
          <w:p w14:paraId="6740ED4E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ОГРН: Код ОГРН: 1212300029545</w:t>
            </w:r>
          </w:p>
        </w:tc>
        <w:tc>
          <w:tcPr>
            <w:tcW w:w="604" w:type="dxa"/>
            <w:shd w:val="clear" w:color="FFFFFF" w:fill="auto"/>
          </w:tcPr>
          <w:p w14:paraId="40DCCA96" w14:textId="77777777" w:rsidR="008B2B85" w:rsidRDefault="008B2B85">
            <w:pPr>
              <w:rPr>
                <w:szCs w:val="16"/>
              </w:rPr>
            </w:pPr>
          </w:p>
        </w:tc>
        <w:tc>
          <w:tcPr>
            <w:tcW w:w="6104" w:type="dxa"/>
            <w:gridSpan w:val="3"/>
            <w:vMerge/>
            <w:shd w:val="clear" w:color="FFFFFF" w:fill="auto"/>
          </w:tcPr>
          <w:p w14:paraId="7154C2FE" w14:textId="77777777" w:rsidR="008B2B85" w:rsidRDefault="008B2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776DF457" w14:textId="77777777">
        <w:trPr>
          <w:trHeight w:val="60"/>
        </w:trPr>
        <w:tc>
          <w:tcPr>
            <w:tcW w:w="4607" w:type="dxa"/>
            <w:gridSpan w:val="7"/>
            <w:shd w:val="clear" w:color="FFFFFF" w:fill="auto"/>
          </w:tcPr>
          <w:p w14:paraId="5ADB5E35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2366027819  , КПП: 236601001</w:t>
            </w:r>
          </w:p>
        </w:tc>
        <w:tc>
          <w:tcPr>
            <w:tcW w:w="6104" w:type="dxa"/>
            <w:gridSpan w:val="3"/>
            <w:vMerge/>
            <w:shd w:val="clear" w:color="FFFFFF" w:fill="auto"/>
          </w:tcPr>
          <w:p w14:paraId="2CBA0566" w14:textId="77777777" w:rsidR="008B2B85" w:rsidRDefault="008B2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4A4E7D72" w14:textId="77777777">
        <w:trPr>
          <w:trHeight w:val="60"/>
        </w:trPr>
        <w:tc>
          <w:tcPr>
            <w:tcW w:w="4607" w:type="dxa"/>
            <w:gridSpan w:val="7"/>
            <w:shd w:val="clear" w:color="FFFFFF" w:fill="auto"/>
          </w:tcPr>
          <w:p w14:paraId="5043A916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Емайл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: sochi@fomin-clinic.ru</w:t>
            </w:r>
          </w:p>
        </w:tc>
        <w:tc>
          <w:tcPr>
            <w:tcW w:w="1523" w:type="dxa"/>
            <w:shd w:val="clear" w:color="FFFFFF" w:fill="auto"/>
          </w:tcPr>
          <w:p w14:paraId="4EBA9805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FFFFFF" w:fill="auto"/>
          </w:tcPr>
          <w:p w14:paraId="6766C84A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8" w:type="dxa"/>
            <w:shd w:val="clear" w:color="FFFFFF" w:fill="auto"/>
          </w:tcPr>
          <w:p w14:paraId="6D1E9BDE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256DA8AC" w14:textId="77777777">
        <w:trPr>
          <w:trHeight w:val="60"/>
        </w:trPr>
        <w:tc>
          <w:tcPr>
            <w:tcW w:w="4607" w:type="dxa"/>
            <w:gridSpan w:val="7"/>
            <w:shd w:val="clear" w:color="FFFFFF" w:fill="auto"/>
          </w:tcPr>
          <w:p w14:paraId="402F6A89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FFFFFF" w:fill="auto"/>
          </w:tcPr>
          <w:p w14:paraId="7616E7BA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FFFFFF" w:fill="auto"/>
          </w:tcPr>
          <w:p w14:paraId="67C4C23B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8" w:type="dxa"/>
            <w:shd w:val="clear" w:color="FFFFFF" w:fill="auto"/>
          </w:tcPr>
          <w:p w14:paraId="025C2E6C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218C40B6" w14:textId="77777777">
        <w:trPr>
          <w:trHeight w:val="60"/>
        </w:trPr>
        <w:tc>
          <w:tcPr>
            <w:tcW w:w="4607" w:type="dxa"/>
            <w:gridSpan w:val="7"/>
            <w:shd w:val="clear" w:color="FFFFFF" w:fill="auto"/>
          </w:tcPr>
          <w:p w14:paraId="7AEC943E" w14:textId="77777777" w:rsidR="008B2B85" w:rsidRDefault="001120A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Старший администратор клиники _______________</w:t>
            </w:r>
          </w:p>
        </w:tc>
        <w:tc>
          <w:tcPr>
            <w:tcW w:w="1523" w:type="dxa"/>
            <w:shd w:val="clear" w:color="FFFFFF" w:fill="auto"/>
          </w:tcPr>
          <w:p w14:paraId="6100037C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FFFFFF" w:fill="auto"/>
          </w:tcPr>
          <w:p w14:paraId="58929AB7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8" w:type="dxa"/>
            <w:shd w:val="clear" w:color="FFFFFF" w:fill="auto"/>
          </w:tcPr>
          <w:p w14:paraId="0B464330" w14:textId="77777777" w:rsidR="008B2B85" w:rsidRDefault="008B2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B85" w14:paraId="39AB4426" w14:textId="77777777">
        <w:trPr>
          <w:trHeight w:val="60"/>
        </w:trPr>
        <w:tc>
          <w:tcPr>
            <w:tcW w:w="4607" w:type="dxa"/>
            <w:gridSpan w:val="7"/>
            <w:shd w:val="clear" w:color="FFFFFF" w:fill="auto"/>
          </w:tcPr>
          <w:p w14:paraId="1C9B4968" w14:textId="77777777" w:rsidR="008B2B85" w:rsidRDefault="001120A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Петрова И.А.</w:t>
            </w:r>
          </w:p>
        </w:tc>
        <w:tc>
          <w:tcPr>
            <w:tcW w:w="6104" w:type="dxa"/>
            <w:gridSpan w:val="3"/>
            <w:shd w:val="clear" w:color="FFFFFF" w:fill="auto"/>
          </w:tcPr>
          <w:p w14:paraId="0C5BD29B" w14:textId="77777777" w:rsidR="008B2B85" w:rsidRDefault="001120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pict w14:anchorId="24CBFEA7">
                <v:rect id="_x0000_s1026" style="position:absolute;margin-left:2pt;margin-top:0;width:10pt;height:9pt;z-index:251657728;mso-position-horizontal-relative:text;mso-position-vertical-relative:text" fillcolor="none" stroked="f">
                  <v:fill r:id="rId4" o:title="image000" type="frame"/>
                </v:rect>
              </w:pict>
            </w:r>
            <w:r>
              <w:rPr>
                <w:rFonts w:ascii="Times New Roman" w:hAnsi="Times New Roman"/>
                <w:sz w:val="18"/>
                <w:szCs w:val="18"/>
              </w:rPr>
              <w:t>___________________/Тестов Т.Т.</w:t>
            </w:r>
          </w:p>
        </w:tc>
      </w:tr>
    </w:tbl>
    <w:p w14:paraId="7A623659" w14:textId="77777777" w:rsidR="001120A9" w:rsidRDefault="001120A9"/>
    <w:sectPr w:rsidR="001120A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B85"/>
    <w:rsid w:val="000F10C3"/>
    <w:rsid w:val="001120A9"/>
    <w:rsid w:val="008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F486D"/>
  <w15:docId w15:val="{C2FAE8A8-0017-45AB-87C0-71AA99B0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SOCHI45</cp:lastModifiedBy>
  <cp:revision>2</cp:revision>
  <dcterms:created xsi:type="dcterms:W3CDTF">2024-12-11T11:55:00Z</dcterms:created>
  <dcterms:modified xsi:type="dcterms:W3CDTF">2024-12-11T11:56:00Z</dcterms:modified>
</cp:coreProperties>
</file>